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24" w:rsidRDefault="00413E0E">
      <w:pPr>
        <w:pStyle w:val="20"/>
        <w:shd w:val="clear" w:color="auto" w:fill="auto"/>
        <w:spacing w:after="346"/>
      </w:pPr>
      <w:r>
        <w:t>НАДЕЖДИНСКОЕ СЕЛЬСКОЕ ПОСЕЛЕНИЕ ОМСКОГО МУНИЦИПАЛЬНОГО РАЙОНА ОМСКОЙ ОБЛАСТИ</w:t>
      </w:r>
    </w:p>
    <w:p w:rsidR="006C4B24" w:rsidRDefault="00413E0E">
      <w:pPr>
        <w:pStyle w:val="20"/>
        <w:shd w:val="clear" w:color="auto" w:fill="auto"/>
        <w:spacing w:after="0" w:line="260" w:lineRule="exact"/>
      </w:pPr>
      <w:r>
        <w:t>СОВЕТ</w:t>
      </w:r>
    </w:p>
    <w:p w:rsidR="006C4B24" w:rsidRDefault="00413E0E">
      <w:pPr>
        <w:pStyle w:val="20"/>
        <w:shd w:val="clear" w:color="auto" w:fill="auto"/>
        <w:spacing w:after="0" w:line="653" w:lineRule="exact"/>
      </w:pPr>
      <w:r>
        <w:t>Надеждинского сельского поселения РЕШЕНИЕ</w:t>
      </w:r>
    </w:p>
    <w:p w:rsidR="006C4B24" w:rsidRDefault="00413E0E">
      <w:pPr>
        <w:pStyle w:val="30"/>
        <w:shd w:val="clear" w:color="auto" w:fill="auto"/>
        <w:spacing w:after="0" w:line="260" w:lineRule="exact"/>
        <w:ind w:left="20"/>
      </w:pPr>
      <w:r>
        <w:rPr>
          <w:rStyle w:val="3MicrosoftSansSerif12pt"/>
          <w:vertAlign w:val="subscript"/>
        </w:rPr>
        <w:t>0т</w:t>
      </w:r>
      <w:r>
        <w:rPr>
          <w:rStyle w:val="3MicrosoftSansSerif12pt"/>
        </w:rPr>
        <w:t xml:space="preserve"> </w:t>
      </w:r>
      <w:r w:rsidR="008D1A1C">
        <w:rPr>
          <w:rStyle w:val="31"/>
          <w:i/>
          <w:iCs/>
        </w:rPr>
        <w:t>07.08.2007 №32</w:t>
      </w:r>
    </w:p>
    <w:p w:rsidR="006C4B24" w:rsidRDefault="00413E0E">
      <w:pPr>
        <w:pStyle w:val="40"/>
        <w:shd w:val="clear" w:color="auto" w:fill="auto"/>
        <w:spacing w:before="0" w:after="411"/>
        <w:ind w:left="20" w:right="5160"/>
      </w:pPr>
      <w:r>
        <w:t xml:space="preserve">Об утверждении порядка предоставления документов для подтверждения денежных обязательств, подлежащих исполнению за </w:t>
      </w:r>
      <w:r>
        <w:t>счет средств бюджета поселения</w:t>
      </w:r>
    </w:p>
    <w:p w:rsidR="006C4B24" w:rsidRDefault="00413E0E">
      <w:pPr>
        <w:pStyle w:val="50"/>
        <w:shd w:val="clear" w:color="auto" w:fill="auto"/>
        <w:spacing w:before="0" w:after="346"/>
        <w:ind w:left="20" w:firstLine="260"/>
      </w:pPr>
      <w:r>
        <w:t>Руководствуясь Федеральным Законом № 131 ФЗ «Об общих принципах организации местного самоуправления в Российской Федерации», Бюджетным Кодексом Российской Федерации, Уставом Надеждинского сельского поселения Омского муниципал</w:t>
      </w:r>
      <w:r>
        <w:t>ьного района Омской области, Совет Надеждинского сельского поселения,</w:t>
      </w:r>
    </w:p>
    <w:p w:rsidR="006C4B24" w:rsidRDefault="00413E0E">
      <w:pPr>
        <w:pStyle w:val="50"/>
        <w:shd w:val="clear" w:color="auto" w:fill="auto"/>
        <w:spacing w:before="0" w:after="289" w:line="260" w:lineRule="exact"/>
        <w:ind w:left="20" w:firstLine="260"/>
      </w:pPr>
      <w:r>
        <w:t>РЕШИЛ:</w:t>
      </w:r>
    </w:p>
    <w:p w:rsidR="006C4B24" w:rsidRDefault="00413E0E">
      <w:pPr>
        <w:pStyle w:val="50"/>
        <w:numPr>
          <w:ilvl w:val="0"/>
          <w:numId w:val="1"/>
        </w:numPr>
        <w:shd w:val="clear" w:color="auto" w:fill="auto"/>
        <w:spacing w:before="0" w:after="0" w:line="322" w:lineRule="exact"/>
        <w:ind w:left="620" w:right="240"/>
        <w:jc w:val="left"/>
      </w:pPr>
      <w:r>
        <w:t xml:space="preserve"> Утвердить порядок предоставления документов для подтверждения денежных обязательств, подлежащих исполнению за счет средств бюджета поселения </w:t>
      </w:r>
      <w:proofErr w:type="gramStart"/>
      <w:r>
        <w:t xml:space="preserve">( </w:t>
      </w:r>
      <w:proofErr w:type="gramEnd"/>
      <w:r>
        <w:t>Приложение № 1).</w:t>
      </w:r>
    </w:p>
    <w:p w:rsidR="006C4B24" w:rsidRDefault="00413E0E">
      <w:pPr>
        <w:pStyle w:val="50"/>
        <w:numPr>
          <w:ilvl w:val="0"/>
          <w:numId w:val="1"/>
        </w:numPr>
        <w:shd w:val="clear" w:color="auto" w:fill="auto"/>
        <w:spacing w:before="0" w:after="0" w:line="322" w:lineRule="exact"/>
        <w:ind w:left="620" w:right="580"/>
        <w:jc w:val="left"/>
      </w:pPr>
      <w:r>
        <w:t xml:space="preserve"> 2. Утвердить перечень документов, предъявляемых для подтверждения и оплаты денежных обязательств </w:t>
      </w:r>
      <w:proofErr w:type="gramStart"/>
      <w:r>
        <w:t xml:space="preserve">( </w:t>
      </w:r>
      <w:proofErr w:type="gramEnd"/>
      <w:r>
        <w:t>Приложение № 2).</w:t>
      </w:r>
    </w:p>
    <w:p w:rsidR="006C4B24" w:rsidRDefault="00413E0E">
      <w:pPr>
        <w:pStyle w:val="50"/>
        <w:numPr>
          <w:ilvl w:val="0"/>
          <w:numId w:val="1"/>
        </w:numPr>
        <w:shd w:val="clear" w:color="auto" w:fill="auto"/>
        <w:spacing w:before="0" w:after="0" w:line="322" w:lineRule="exact"/>
        <w:ind w:left="620" w:right="240"/>
        <w:jc w:val="left"/>
      </w:pPr>
      <w:r>
        <w:t xml:space="preserve"> Настоящее решение распространяется на все правоотношения, возникшие с 01.01.2006г.</w:t>
      </w:r>
    </w:p>
    <w:p w:rsidR="006C4B24" w:rsidRDefault="00413E0E">
      <w:pPr>
        <w:framePr w:h="1046" w:wrap="around" w:vAnchor="text" w:hAnchor="margin" w:x="4657" w:y="191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</w:instrText>
      </w:r>
      <w:r>
        <w:instrText>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2pt">
            <v:imagedata r:id="rId8" r:href="rId9"/>
          </v:shape>
        </w:pict>
      </w:r>
      <w:r>
        <w:fldChar w:fldCharType="end"/>
      </w:r>
    </w:p>
    <w:p w:rsidR="006C4B24" w:rsidRDefault="00413E0E">
      <w:pPr>
        <w:pStyle w:val="50"/>
        <w:framePr w:h="240" w:wrap="around" w:vAnchor="text" w:hAnchor="margin" w:x="8684" w:y="2530"/>
        <w:shd w:val="clear" w:color="auto" w:fill="auto"/>
        <w:spacing w:before="0" w:after="0" w:line="240" w:lineRule="exact"/>
        <w:ind w:firstLine="0"/>
        <w:jc w:val="left"/>
      </w:pPr>
      <w:proofErr w:type="spellStart"/>
      <w:r>
        <w:rPr>
          <w:rStyle w:val="5Exact"/>
          <w:spacing w:val="0"/>
        </w:rPr>
        <w:t>В.В.Кот</w:t>
      </w:r>
      <w:proofErr w:type="spellEnd"/>
    </w:p>
    <w:p w:rsidR="006C4B24" w:rsidRDefault="00413E0E">
      <w:pPr>
        <w:pStyle w:val="50"/>
        <w:framePr w:w="1930" w:h="638" w:wrap="notBeside" w:vAnchor="text" w:hAnchor="margin" w:x="44" w:y="2187"/>
        <w:shd w:val="clear" w:color="auto" w:fill="auto"/>
        <w:spacing w:before="0" w:after="0" w:line="322" w:lineRule="exact"/>
        <w:ind w:firstLine="0"/>
      </w:pPr>
      <w:r>
        <w:rPr>
          <w:rStyle w:val="5Exact"/>
          <w:spacing w:val="0"/>
        </w:rPr>
        <w:t>Г лава сельского поселения</w:t>
      </w:r>
    </w:p>
    <w:p w:rsidR="006C4B24" w:rsidRDefault="00413E0E">
      <w:pPr>
        <w:pStyle w:val="50"/>
        <w:numPr>
          <w:ilvl w:val="0"/>
          <w:numId w:val="1"/>
        </w:numPr>
        <w:shd w:val="clear" w:color="auto" w:fill="auto"/>
        <w:spacing w:before="0" w:after="0" w:line="322" w:lineRule="exact"/>
        <w:ind w:left="620" w:right="840"/>
        <w:jc w:val="left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решения возложить на Главного специалиста по финансам, бюджету, налоговой политике Мовчан О.В.</w:t>
      </w:r>
      <w:r>
        <w:br w:type="page"/>
      </w:r>
    </w:p>
    <w:p w:rsidR="006C4B24" w:rsidRPr="008D1A1C" w:rsidRDefault="00413E0E">
      <w:pPr>
        <w:pStyle w:val="21"/>
        <w:shd w:val="clear" w:color="auto" w:fill="auto"/>
        <w:tabs>
          <w:tab w:val="right" w:pos="8911"/>
          <w:tab w:val="right" w:pos="9199"/>
          <w:tab w:val="right" w:pos="9703"/>
        </w:tabs>
        <w:spacing w:after="536"/>
        <w:ind w:left="5820" w:right="220" w:firstLine="2040"/>
        <w:rPr>
          <w:b/>
          <w:i/>
        </w:rPr>
      </w:pPr>
      <w:r>
        <w:lastRenderedPageBreak/>
        <w:t xml:space="preserve">Приложение № к Решению </w:t>
      </w:r>
      <w:r>
        <w:t>Совета Надеждинского сельского поселения Омского муниципального района Омской области от</w:t>
      </w:r>
      <w:r w:rsidR="008D1A1C">
        <w:t xml:space="preserve"> 7 августа </w:t>
      </w:r>
      <w:r>
        <w:t>2007г</w:t>
      </w:r>
      <w:r>
        <w:tab/>
        <w:t>№</w:t>
      </w:r>
      <w:r>
        <w:tab/>
      </w:r>
      <w:r w:rsidR="008D1A1C">
        <w:rPr>
          <w:rStyle w:val="-1pt"/>
          <w:b w:val="0"/>
          <w:i w:val="0"/>
          <w:u w:val="none"/>
        </w:rPr>
        <w:t>32</w:t>
      </w:r>
    </w:p>
    <w:p w:rsidR="006C4B24" w:rsidRDefault="00413E0E">
      <w:pPr>
        <w:pStyle w:val="21"/>
        <w:shd w:val="clear" w:color="auto" w:fill="auto"/>
        <w:spacing w:after="279" w:line="278" w:lineRule="exact"/>
        <w:ind w:left="660" w:right="1340" w:firstLine="0"/>
      </w:pPr>
      <w:r>
        <w:t>ПОРЯДОК ПРЕДОСТАВЛЕНИЯ ДОКУМЕНТОВ ДЛЯ ПОДТВЕРЖДЕНИЯ ДЕНЕЖНЫХ ОБЯЗАТЕЛЬСТВ, ПОДЛЕЖАЩИХ ИСПОЛНЕНИЮ ЗА СЧЕТ СРЕДСТВ БЮДЖЕТА СЕЛЬСКОЕО ПОСЕЛЕНИЯ</w:t>
      </w:r>
    </w:p>
    <w:p w:rsidR="006C4B24" w:rsidRDefault="00413E0E">
      <w:pPr>
        <w:pStyle w:val="21"/>
        <w:shd w:val="clear" w:color="auto" w:fill="auto"/>
        <w:spacing w:after="208" w:line="230" w:lineRule="exact"/>
        <w:ind w:left="360" w:firstLine="0"/>
        <w:jc w:val="center"/>
      </w:pPr>
      <w:r>
        <w:t>1. Общие полож</w:t>
      </w:r>
      <w:r>
        <w:t>ения</w:t>
      </w:r>
    </w:p>
    <w:p w:rsidR="006C4B24" w:rsidRDefault="00413E0E">
      <w:pPr>
        <w:pStyle w:val="21"/>
        <w:numPr>
          <w:ilvl w:val="0"/>
          <w:numId w:val="2"/>
        </w:numPr>
        <w:shd w:val="clear" w:color="auto" w:fill="auto"/>
        <w:spacing w:after="0"/>
        <w:ind w:left="380" w:right="320" w:hanging="340"/>
      </w:pPr>
      <w:r>
        <w:t xml:space="preserve"> Настоящий порядок разработан в соответствии с Бюджетным Кодексом Российской Федерации, нормативными правовыми актами органов государственной власти Российской Федерации, Омской области, Надеждинского сельского поселения, регулирующими бюджетные право</w:t>
      </w:r>
      <w:r>
        <w:t>отношения.</w:t>
      </w:r>
    </w:p>
    <w:p w:rsidR="006C4B24" w:rsidRDefault="00413E0E">
      <w:pPr>
        <w:pStyle w:val="21"/>
        <w:numPr>
          <w:ilvl w:val="0"/>
          <w:numId w:val="2"/>
        </w:numPr>
        <w:shd w:val="clear" w:color="auto" w:fill="auto"/>
        <w:spacing w:after="0"/>
        <w:ind w:left="380" w:right="320" w:hanging="340"/>
      </w:pPr>
      <w:r>
        <w:t xml:space="preserve"> Настоящий порядок определяет перечень документов, представляемых в территориальные органы Министерства Финансов Омской области </w:t>
      </w:r>
      <w:proofErr w:type="gramStart"/>
      <w:r>
        <w:t xml:space="preserve">( </w:t>
      </w:r>
      <w:proofErr w:type="gramEnd"/>
      <w:r>
        <w:t>далее территориальные органы) для подтверждения денежных обязательств, принятых получателями бюджетных средств и по</w:t>
      </w:r>
      <w:r>
        <w:t>длежащих исполнению за счет средств бюджета сельского поселения.</w:t>
      </w:r>
    </w:p>
    <w:p w:rsidR="006C4B24" w:rsidRDefault="00413E0E">
      <w:pPr>
        <w:pStyle w:val="21"/>
        <w:numPr>
          <w:ilvl w:val="0"/>
          <w:numId w:val="2"/>
        </w:numPr>
        <w:shd w:val="clear" w:color="auto" w:fill="auto"/>
        <w:spacing w:after="240"/>
        <w:ind w:left="20" w:firstLine="0"/>
      </w:pPr>
      <w:r>
        <w:t xml:space="preserve"> В целях настоящего Порядка применяются следующие понятия: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бюджетное учреждение ( далее -, бюджетное учреждение) - организация, созданная органами местного самоуправления Надеждинского сельс</w:t>
      </w:r>
      <w:r>
        <w:t xml:space="preserve">кого поселения Омского муниципального района Омской области для осуществления управленческих, </w:t>
      </w:r>
      <w:proofErr w:type="spellStart"/>
      <w:r>
        <w:t>социально</w:t>
      </w:r>
      <w:r>
        <w:softHyphen/>
        <w:t>культурных</w:t>
      </w:r>
      <w:proofErr w:type="spellEnd"/>
      <w:r>
        <w:t xml:space="preserve">, научно-технических и иных функций некоммерческого характера, </w:t>
      </w:r>
      <w:proofErr w:type="gramStart"/>
      <w:r>
        <w:t>деятельность</w:t>
      </w:r>
      <w:proofErr w:type="gramEnd"/>
      <w:r>
        <w:t xml:space="preserve"> которой финансируется из бюджета сельского поселения на основе сме</w:t>
      </w:r>
      <w:r>
        <w:t>ты доходов и расходов.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главный распорядитель бюджетных средств ( дале</w:t>
      </w:r>
      <w:proofErr w:type="gramStart"/>
      <w:r>
        <w:t>е-</w:t>
      </w:r>
      <w:proofErr w:type="gramEnd"/>
      <w:r>
        <w:t xml:space="preserve"> распорядитель) - орган местного самоуправления сельского поселения, имеющие право распределять средства бюджета сельского поселения по получателям бюджетных средств, определенные ведо</w:t>
      </w:r>
      <w:r>
        <w:t>мственной классификацией расходов бюджета сельского поселения.;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получатель бюджетных средств - бюджетное учреждение или иное юридическое лицо, имеющее право на получение средств бюджета сельского поселения в соответствии с бюджетной росписью бюджета сельс</w:t>
      </w:r>
      <w:r>
        <w:t>кого поселения на соответствующий финансовый год;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бюджетное обязательство сельского поселения - расходные обязательства сельского поселения, исполнение которых предусмотрено решением о бюджете сельского поселения на соответствующий финансовый год;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денежное обязательств</w:t>
      </w:r>
      <w:proofErr w:type="gramStart"/>
      <w:r>
        <w:t>о-</w:t>
      </w:r>
      <w:proofErr w:type="gramEnd"/>
      <w:r>
        <w:t xml:space="preserve"> подлежащее оплате за счет средств бюджета сельского поселения денежное обязательство получателя бюджетных средств, возникшие в результате исполнения поставщиком товаров, исполнителем работ ( услуг) своих обязательств перед получате</w:t>
      </w:r>
      <w:r>
        <w:t>лем бюджетных средств по заключенному между ними договору ( соглашению).</w:t>
      </w:r>
    </w:p>
    <w:p w:rsidR="006C4B24" w:rsidRDefault="00413E0E">
      <w:pPr>
        <w:pStyle w:val="21"/>
        <w:numPr>
          <w:ilvl w:val="0"/>
          <w:numId w:val="2"/>
        </w:numPr>
        <w:shd w:val="clear" w:color="auto" w:fill="auto"/>
        <w:spacing w:after="0"/>
        <w:ind w:left="20" w:right="320" w:firstLine="0"/>
      </w:pPr>
      <w:r>
        <w:t xml:space="preserve"> При подтверждении денежных обязательств, принятых получателем бюджетных средств, территориальный орган выполняет следующие функции: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контроль соответствия принятых денежных обязатель</w:t>
      </w:r>
      <w:r>
        <w:t>ств решению о бюджете Надеждинского сельского поселения;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контроль соответствия принятых денежных </w:t>
      </w:r>
      <w:proofErr w:type="gramStart"/>
      <w:r>
        <w:t>обязательств</w:t>
      </w:r>
      <w:proofErr w:type="gramEnd"/>
      <w:r>
        <w:t xml:space="preserve"> доведенным до получателя бюджетных средств ассигнованиям и лимитам бюджетных обязательств;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20" w:right="320" w:firstLine="0"/>
      </w:pPr>
      <w:r>
        <w:t xml:space="preserve"> проверка наличия у получателя бюджетных средств докум</w:t>
      </w:r>
      <w:r>
        <w:t>ентов, подтверждающих возникновение у него денежных обязательств;</w:t>
      </w:r>
    </w:p>
    <w:p w:rsidR="006C4B24" w:rsidRDefault="00413E0E">
      <w:pPr>
        <w:pStyle w:val="23"/>
        <w:keepNext/>
        <w:keepLines/>
        <w:numPr>
          <w:ilvl w:val="0"/>
          <w:numId w:val="3"/>
        </w:numPr>
        <w:shd w:val="clear" w:color="auto" w:fill="auto"/>
        <w:ind w:left="20"/>
      </w:pPr>
      <w:bookmarkStart w:id="0" w:name="bookmark0"/>
      <w:r>
        <w:t xml:space="preserve"> проверка соответствия содержания проводимой операции коду бюджетной классификации</w:t>
      </w:r>
      <w:bookmarkEnd w:id="0"/>
    </w:p>
    <w:p w:rsidR="006C4B24" w:rsidRDefault="00413E0E">
      <w:pPr>
        <w:pStyle w:val="21"/>
        <w:shd w:val="clear" w:color="auto" w:fill="auto"/>
        <w:spacing w:after="0"/>
        <w:ind w:left="60" w:right="220" w:firstLine="0"/>
      </w:pPr>
      <w:r>
        <w:t>Надеждинского сельского поселения, в соответствии с документами предоставленными получателем бюджетных сред</w:t>
      </w:r>
      <w:r>
        <w:t>ств;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60" w:right="220" w:firstLine="0"/>
      </w:pPr>
      <w:r>
        <w:t xml:space="preserve"> регистрация в центральной базе программного комплекса денежных обязательств получателем бюджетных средств;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60" w:right="220" w:firstLine="0"/>
      </w:pPr>
      <w:r>
        <w:t xml:space="preserve"> проверка правильности оформления платежных документов в части наличия соответствующих реквизитов.</w:t>
      </w:r>
    </w:p>
    <w:p w:rsidR="006C4B24" w:rsidRDefault="00413E0E">
      <w:pPr>
        <w:pStyle w:val="21"/>
        <w:numPr>
          <w:ilvl w:val="0"/>
          <w:numId w:val="2"/>
        </w:numPr>
        <w:shd w:val="clear" w:color="auto" w:fill="auto"/>
        <w:tabs>
          <w:tab w:val="left" w:pos="358"/>
        </w:tabs>
        <w:spacing w:after="221"/>
        <w:ind w:left="60" w:right="220" w:firstLine="0"/>
      </w:pPr>
      <w:r>
        <w:t>Территориальный орган осуществляет процедуру</w:t>
      </w:r>
      <w:r>
        <w:t xml:space="preserve"> подтверждения денежных обязатель</w:t>
      </w:r>
      <w:proofErr w:type="gramStart"/>
      <w:r>
        <w:t>ств в ср</w:t>
      </w:r>
      <w:proofErr w:type="gramEnd"/>
      <w:r>
        <w:t>ок, не превышающий трех дней с момента представления получателем бюджетных средств пакета документов для оплаты денежных обязательств.</w:t>
      </w:r>
    </w:p>
    <w:p w:rsidR="006C4B24" w:rsidRDefault="00413E0E">
      <w:pPr>
        <w:pStyle w:val="21"/>
        <w:numPr>
          <w:ilvl w:val="0"/>
          <w:numId w:val="4"/>
        </w:numPr>
        <w:shd w:val="clear" w:color="auto" w:fill="auto"/>
        <w:tabs>
          <w:tab w:val="left" w:pos="1230"/>
        </w:tabs>
        <w:spacing w:after="259" w:line="298" w:lineRule="exact"/>
        <w:ind w:left="2580" w:right="940"/>
      </w:pPr>
      <w:r>
        <w:t xml:space="preserve">Порядок представления получателями бюджетных средств документов для </w:t>
      </w:r>
      <w:r>
        <w:t>подтверждения и оплаты денежных обязательств</w:t>
      </w:r>
    </w:p>
    <w:p w:rsidR="006C4B24" w:rsidRDefault="00413E0E">
      <w:pPr>
        <w:pStyle w:val="21"/>
        <w:shd w:val="clear" w:color="auto" w:fill="auto"/>
        <w:spacing w:after="0"/>
        <w:ind w:left="860" w:right="340" w:firstLine="0"/>
      </w:pPr>
      <w:proofErr w:type="spellStart"/>
      <w:r>
        <w:t>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подтверждения и оплаты денежных обязательств получатель бюджетных средств представляет в территориальный орган договор на поставку товаров, выполнение работ, оказание услуг, заключенный в любой предусмотре</w:t>
      </w:r>
      <w:r>
        <w:t xml:space="preserve">нной для совершения сделок форме, если законом для договоров данного вида не установлена определенная форма, и </w:t>
      </w:r>
      <w:r>
        <w:lastRenderedPageBreak/>
        <w:t>документы, подтверждающие возникновение у получателя бюджетных средств денежных обязательств по оплате за поставленные товары, выполненные работы</w:t>
      </w:r>
      <w:r>
        <w:t xml:space="preserve">, оказанные услуги (счет-фактура, накладная, акт выполненных работ), а также иные необходимые для осуществления предварительного контроля документы. При осуществлении предварительной оплаты </w:t>
      </w:r>
      <w:proofErr w:type="gramStart"/>
      <w:r>
        <w:t xml:space="preserve">( </w:t>
      </w:r>
      <w:proofErr w:type="gramEnd"/>
      <w:r>
        <w:t>авансирования) приобретенных товаров ( работ, услуг) представляе</w:t>
      </w:r>
      <w:r>
        <w:t>тся счет на соответствующую сумму платежа. Авансирование поставки товаров, выполнения работ и оказание услуг производится получателем бюджетных средств согласно условиям договора с учетом ограничений, установленных законодательством.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60" w:right="220" w:firstLine="0"/>
      </w:pPr>
      <w:r>
        <w:t xml:space="preserve"> Для подтверждения ден</w:t>
      </w:r>
      <w:r>
        <w:t>ежных обязательств в территориальный орган представляются документы в соответствии с экономической классификацией производимых расходов.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60" w:right="220" w:firstLine="0"/>
      </w:pPr>
      <w:r>
        <w:t xml:space="preserve"> Документы, служащие основанием платежа, представляются в территориальный орган в письменной форме в оригинале. После п</w:t>
      </w:r>
      <w:r>
        <w:t>роверки оригиналы документов возвращаются получателю бюджетных средств.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60" w:right="220" w:firstLine="0"/>
      </w:pPr>
      <w:r>
        <w:t xml:space="preserve"> Документы, представляемые в территориальный орган для подтверждения денежных обязательств, должны содержать расшифровку подписей ответственных лиц.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60" w:right="220" w:firstLine="0"/>
      </w:pPr>
      <w:r>
        <w:t xml:space="preserve"> Для регистрации и учета денежных о</w:t>
      </w:r>
      <w:r>
        <w:t>бязательств получатели бюджетных средств одновременно с договором представляют расшифровку к договору (дале</w:t>
      </w:r>
      <w:proofErr w:type="gramStart"/>
      <w:r>
        <w:t>е-</w:t>
      </w:r>
      <w:proofErr w:type="gramEnd"/>
      <w:r>
        <w:t xml:space="preserve"> расшифровка).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 w:line="293" w:lineRule="exact"/>
        <w:ind w:left="60" w:right="220" w:firstLine="0"/>
      </w:pPr>
      <w:r>
        <w:t xml:space="preserve"> При приеме договора </w:t>
      </w:r>
      <w:proofErr w:type="gramStart"/>
      <w:r>
        <w:t xml:space="preserve">( </w:t>
      </w:r>
      <w:proofErr w:type="gramEnd"/>
      <w:r>
        <w:t>контракта) для регистрации денежных обязательств осуществляется проверка соответствия:</w:t>
      </w:r>
    </w:p>
    <w:p w:rsidR="006C4B24" w:rsidRDefault="00413E0E">
      <w:pPr>
        <w:pStyle w:val="21"/>
        <w:shd w:val="clear" w:color="auto" w:fill="auto"/>
        <w:spacing w:after="0" w:line="269" w:lineRule="exact"/>
        <w:ind w:left="60" w:firstLine="0"/>
      </w:pPr>
      <w:r>
        <w:t>а) предмета договора;</w:t>
      </w:r>
    </w:p>
    <w:p w:rsidR="006C4B24" w:rsidRDefault="00413E0E">
      <w:pPr>
        <w:pStyle w:val="21"/>
        <w:shd w:val="clear" w:color="auto" w:fill="auto"/>
        <w:spacing w:after="0" w:line="269" w:lineRule="exact"/>
        <w:ind w:left="60" w:firstLine="0"/>
      </w:pPr>
      <w:r>
        <w:t>б) стоимости договора;</w:t>
      </w:r>
    </w:p>
    <w:p w:rsidR="006C4B24" w:rsidRDefault="00413E0E">
      <w:pPr>
        <w:pStyle w:val="60"/>
        <w:shd w:val="clear" w:color="auto" w:fill="auto"/>
        <w:ind w:left="60"/>
      </w:pPr>
      <w:r>
        <w:t>в) условий оплаты;</w:t>
      </w:r>
    </w:p>
    <w:p w:rsidR="006C4B24" w:rsidRDefault="00413E0E">
      <w:pPr>
        <w:pStyle w:val="60"/>
        <w:shd w:val="clear" w:color="auto" w:fill="auto"/>
        <w:ind w:left="60"/>
      </w:pPr>
      <w:r>
        <w:t>г) срока действия;</w:t>
      </w:r>
    </w:p>
    <w:p w:rsidR="006C4B24" w:rsidRDefault="00413E0E">
      <w:pPr>
        <w:pStyle w:val="21"/>
        <w:shd w:val="clear" w:color="auto" w:fill="auto"/>
        <w:spacing w:after="0" w:line="269" w:lineRule="exact"/>
        <w:ind w:left="60" w:firstLine="0"/>
      </w:pPr>
      <w:r>
        <w:t>д) банковских реквизитов сторон информации, содержащейся в расшифровке.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 w:line="269" w:lineRule="exact"/>
        <w:ind w:left="60" w:right="220" w:firstLine="0"/>
      </w:pPr>
      <w:r>
        <w:t xml:space="preserve"> Денежные обязательства принимаются на </w:t>
      </w:r>
      <w:r>
        <w:rPr>
          <w:rStyle w:val="105pt"/>
        </w:rPr>
        <w:t xml:space="preserve">регистрацию, если на момент представления </w:t>
      </w:r>
      <w:r>
        <w:t xml:space="preserve">договора на поставку товаров </w:t>
      </w:r>
      <w:proofErr w:type="gramStart"/>
      <w:r>
        <w:t xml:space="preserve">( </w:t>
      </w:r>
      <w:proofErr w:type="gramEnd"/>
      <w:r>
        <w:t xml:space="preserve">работ, </w:t>
      </w:r>
      <w:r>
        <w:t>услуг) в территориальный орган у получателя бюджетных средств имеется достаточный свободный остаток суммы бюджетной росписи по соответствующему коду бюджетной классификации Российской Федерации. Объем свободного остатка по коду бюджетной классификации Росс</w:t>
      </w:r>
      <w:r>
        <w:t xml:space="preserve">ийской Федерации определяется как разница между суммой бюджетной росписи на финансовый год и общей суммой принятых </w:t>
      </w:r>
      <w:proofErr w:type="gramStart"/>
      <w:r>
        <w:t>с начала года на учет денежных обязательств с учетом кассового расхода с начала финансового года по прочим денежным обязательствам</w:t>
      </w:r>
      <w:proofErr w:type="gramEnd"/>
      <w:r>
        <w:t>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 w:line="269" w:lineRule="exact"/>
        <w:ind w:left="60" w:right="220" w:firstLine="0"/>
      </w:pPr>
      <w:r>
        <w:t xml:space="preserve"> В </w:t>
      </w:r>
      <w:r>
        <w:rPr>
          <w:rStyle w:val="13pt"/>
        </w:rPr>
        <w:t>случае</w:t>
      </w:r>
      <w:r>
        <w:rPr>
          <w:rStyle w:val="13pt"/>
        </w:rPr>
        <w:t xml:space="preserve"> </w:t>
      </w:r>
      <w:r>
        <w:t xml:space="preserve">принятия получателем бюджетных средств денежных обязательств по договору на поставку </w:t>
      </w:r>
      <w:r>
        <w:rPr>
          <w:rStyle w:val="105pt"/>
        </w:rPr>
        <w:t xml:space="preserve">товаров </w:t>
      </w:r>
      <w:r>
        <w:t xml:space="preserve">( работ, услуг) по некоторым кодам экономической классификации расходов, </w:t>
      </w:r>
      <w:r>
        <w:rPr>
          <w:rStyle w:val="105pt"/>
        </w:rPr>
        <w:t xml:space="preserve">что следует </w:t>
      </w:r>
      <w:r>
        <w:t xml:space="preserve">из расшифровок, такие обязательства учитываются </w:t>
      </w:r>
      <w:r>
        <w:rPr>
          <w:rStyle w:val="105pt"/>
        </w:rPr>
        <w:t>раздельно</w:t>
      </w:r>
      <w:proofErr w:type="gramStart"/>
      <w:r>
        <w:rPr>
          <w:rStyle w:val="105pt"/>
        </w:rPr>
        <w:t xml:space="preserve"> </w:t>
      </w:r>
      <w:r>
        <w:t>П</w:t>
      </w:r>
      <w:proofErr w:type="gramEnd"/>
      <w:r>
        <w:t>ри этом</w:t>
      </w:r>
    </w:p>
    <w:p w:rsidR="006C4B24" w:rsidRDefault="00413E0E">
      <w:pPr>
        <w:pStyle w:val="21"/>
        <w:shd w:val="clear" w:color="auto" w:fill="auto"/>
        <w:spacing w:after="0"/>
        <w:ind w:left="40" w:right="540" w:firstLine="0"/>
      </w:pPr>
      <w:r>
        <w:t xml:space="preserve">стоимость </w:t>
      </w:r>
      <w:r>
        <w:t>каждого денежного обязательства не должна превышать свободный остаток суммы бюджетной росписи отдельно по каждому коду экономической классификации.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200" w:firstLine="0"/>
      </w:pPr>
      <w:r>
        <w:t xml:space="preserve"> При внесении изменений в денежные обязательства получатель бюджетных сре</w:t>
      </w:r>
      <w:proofErr w:type="gramStart"/>
      <w:r>
        <w:t>дств пр</w:t>
      </w:r>
      <w:proofErr w:type="gramEnd"/>
      <w:r>
        <w:t>едставляет в территориальный</w:t>
      </w:r>
      <w:r>
        <w:t xml:space="preserve"> орган оригиналы договора и дополнительного соглашения к нему с новой расшифровкой с учетом изменений денежных обязательств. В расшифровке указывается новая сумма договора.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200" w:firstLine="0"/>
      </w:pPr>
      <w:r>
        <w:t xml:space="preserve"> В случае, когда оплата по денежному обязательству предусмотрена в рублях в сумме, </w:t>
      </w:r>
      <w:r>
        <w:t>эквивалентной определенной сумме в иностранной валюте, получатель бюджетных сре</w:t>
      </w:r>
      <w:proofErr w:type="gramStart"/>
      <w:r>
        <w:t>дств пр</w:t>
      </w:r>
      <w:proofErr w:type="gramEnd"/>
      <w:r>
        <w:t>едставляет расчет суммы в рублях, определенной по официальному курсу соответствующей валюты на день платежа, если иной курс или иная дата его определения не установлена з</w:t>
      </w:r>
      <w:r>
        <w:t>аконом или соглашением сторон.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540" w:firstLine="0"/>
      </w:pPr>
      <w:r>
        <w:t xml:space="preserve"> </w:t>
      </w:r>
      <w:proofErr w:type="gramStart"/>
      <w:r>
        <w:t>Расчетные документы, представляемые получателями бюджетных средств для оплаты денежных обязательств, оформляются в соответствии с требованиями, установленными Центральным банком Российской Федерации, Министерством Финансов Р</w:t>
      </w:r>
      <w:r>
        <w:t>оссийской Федерации, Министерством финансов Омской области, Комитетом финансов и контроля Администрации Омского муниципального района Омской области.</w:t>
      </w:r>
      <w:proofErr w:type="gramEnd"/>
    </w:p>
    <w:p w:rsidR="006C4B24" w:rsidRDefault="00413E0E">
      <w:pPr>
        <w:pStyle w:val="21"/>
        <w:shd w:val="clear" w:color="auto" w:fill="auto"/>
        <w:spacing w:after="0"/>
        <w:ind w:left="40" w:right="280" w:firstLine="280"/>
      </w:pPr>
      <w:r>
        <w:t>Платежные поручения на перечисление налогов, сборов и иных обязательных платежей в бюджетную систему Росси</w:t>
      </w:r>
      <w:r>
        <w:t>йской Федерации оформляются в соответствии с приказом Министерства финансов Российской Федерации от 24.11.2004 г. № 106н «Об утверждении Правил указания информации в полях расчетных документов на перечисление налогов, сборов и иных платежей в бюджетную сис</w:t>
      </w:r>
      <w:r>
        <w:t>тему Российской Федерации».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540" w:firstLine="0"/>
      </w:pPr>
      <w:r>
        <w:t xml:space="preserve"> При оплате договоров гражданско-правового характера, заключаемых с физическими лицами, получатель бюджетных сре</w:t>
      </w:r>
      <w:proofErr w:type="gramStart"/>
      <w:r>
        <w:t>дств пр</w:t>
      </w:r>
      <w:proofErr w:type="gramEnd"/>
      <w:r>
        <w:t>едставляет следующий пакет документов: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40" w:firstLine="200"/>
      </w:pPr>
      <w:r>
        <w:t xml:space="preserve"> договор на выполнение работ;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40" w:firstLine="200"/>
      </w:pPr>
      <w:r>
        <w:t xml:space="preserve"> смету или расчет стоимости работ (услуг</w:t>
      </w:r>
      <w:r>
        <w:t>);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40" w:firstLine="200"/>
      </w:pPr>
      <w:r>
        <w:t xml:space="preserve"> акт приемки выполненных работ (услуг);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40" w:right="360" w:firstLine="200"/>
      </w:pPr>
      <w:r>
        <w:t xml:space="preserve"> платежные поручения на уплату налога на доходы физических лиц, единого социального налога, взносов на обязательное страхование от несчастных случаев на производстве и профессиональных заболеваний;</w:t>
      </w:r>
    </w:p>
    <w:p w:rsidR="006C4B24" w:rsidRDefault="00413E0E">
      <w:pPr>
        <w:pStyle w:val="21"/>
        <w:numPr>
          <w:ilvl w:val="0"/>
          <w:numId w:val="3"/>
        </w:numPr>
        <w:shd w:val="clear" w:color="auto" w:fill="auto"/>
        <w:spacing w:after="0"/>
        <w:ind w:left="40" w:right="360" w:firstLine="200"/>
      </w:pPr>
      <w:r>
        <w:t xml:space="preserve"> платежное поручение на перечисление заработной платы через кредитные организации, либо платежное поручение к чеку.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200" w:firstLine="0"/>
      </w:pPr>
      <w:r>
        <w:t xml:space="preserve"> При осуществлении расходов на организацию и проведение мероприятий в рамках </w:t>
      </w:r>
      <w:r>
        <w:lastRenderedPageBreak/>
        <w:t>текущей деятельности получателя бюджетных сре</w:t>
      </w:r>
      <w:proofErr w:type="gramStart"/>
      <w:r>
        <w:t>дств в пл</w:t>
      </w:r>
      <w:proofErr w:type="gramEnd"/>
      <w:r>
        <w:t>атежном п</w:t>
      </w:r>
      <w:r>
        <w:t>оручении в поле «назначение платежа» необходима ссылка на реквизиты решения уполномоченного органа о проведении соответствующего мероприятия.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540" w:firstLine="0"/>
      </w:pPr>
      <w:r>
        <w:t xml:space="preserve"> Погашение кредиторской </w:t>
      </w:r>
      <w:proofErr w:type="spellStart"/>
      <w:r>
        <w:t>задолжности</w:t>
      </w:r>
      <w:proofErr w:type="spellEnd"/>
      <w:r>
        <w:t xml:space="preserve"> за поставленные товары, выполненные работы, оказанные услуги осуществляется на</w:t>
      </w:r>
      <w:r>
        <w:t xml:space="preserve"> основе утвержденных лимитов бюджетных обязательств по соответствующим статьям расходов, предусмотренных решением Надеждинского сельского поселения на текущий финансовый год.</w:t>
      </w:r>
    </w:p>
    <w:p w:rsidR="006C4B24" w:rsidRDefault="00413E0E">
      <w:pPr>
        <w:pStyle w:val="21"/>
        <w:shd w:val="clear" w:color="auto" w:fill="auto"/>
        <w:spacing w:after="0"/>
        <w:ind w:left="40" w:right="540" w:firstLine="400"/>
      </w:pPr>
      <w:r>
        <w:t>Получатель бюджетных средств представляет в территориальный орган договор, сче</w:t>
      </w:r>
      <w:proofErr w:type="gramStart"/>
      <w:r>
        <w:t>т-</w:t>
      </w:r>
      <w:proofErr w:type="gramEnd"/>
      <w:r>
        <w:t xml:space="preserve"> </w:t>
      </w:r>
      <w:r>
        <w:t>фактуру, развернутый акт сверки на первое января текущего финансового года.</w:t>
      </w:r>
    </w:p>
    <w:p w:rsidR="006C4B24" w:rsidRDefault="00413E0E">
      <w:pPr>
        <w:pStyle w:val="21"/>
        <w:shd w:val="clear" w:color="auto" w:fill="auto"/>
        <w:spacing w:after="0"/>
        <w:ind w:left="40" w:right="540" w:firstLine="400"/>
      </w:pPr>
      <w:proofErr w:type="gramStart"/>
      <w:r>
        <w:rPr>
          <w:rStyle w:val="13pt"/>
        </w:rPr>
        <w:t xml:space="preserve">Оплата кредиторской </w:t>
      </w:r>
      <w:proofErr w:type="spellStart"/>
      <w:r>
        <w:rPr>
          <w:rStyle w:val="13pt"/>
        </w:rPr>
        <w:t>задолжности</w:t>
      </w:r>
      <w:proofErr w:type="spellEnd"/>
      <w:r>
        <w:rPr>
          <w:rStyle w:val="13pt"/>
        </w:rPr>
        <w:t xml:space="preserve"> </w:t>
      </w:r>
      <w:r>
        <w:t>прошлых лет осуществляется при предоставлении получателем бюджетных средств письма, заверенного главным распорядителем, гарантирующего недопущение о</w:t>
      </w:r>
      <w:r>
        <w:t xml:space="preserve">бразования кредиторской </w:t>
      </w:r>
      <w:proofErr w:type="spellStart"/>
      <w:r>
        <w:t>задолжности</w:t>
      </w:r>
      <w:proofErr w:type="spellEnd"/>
      <w:r>
        <w:t xml:space="preserve"> в связи с проведением вышеуказанных расходов в текущем году.</w:t>
      </w:r>
      <w:proofErr w:type="gramEnd"/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200" w:firstLine="0"/>
      </w:pPr>
      <w:r>
        <w:t xml:space="preserve"> Предоставление субвенций и субсидий за счет средств бюджета сельского поселения юридическим и физическим лицам допускается в случаях, предусмотренным бюджетны</w:t>
      </w:r>
      <w:r>
        <w:t>м законодательством, в соответствии с заключенными договорами или иными документами, на основании которых осуществляются расходы.</w:t>
      </w:r>
    </w:p>
    <w:p w:rsidR="006C4B24" w:rsidRDefault="00413E0E">
      <w:pPr>
        <w:pStyle w:val="21"/>
        <w:shd w:val="clear" w:color="auto" w:fill="auto"/>
        <w:spacing w:after="0"/>
        <w:ind w:left="40" w:right="1260" w:firstLine="400"/>
      </w:pPr>
      <w:proofErr w:type="gramStart"/>
      <w:r>
        <w:t>Контроль за</w:t>
      </w:r>
      <w:proofErr w:type="gramEnd"/>
      <w:r>
        <w:t xml:space="preserve"> целевым использованием предоставленных субвенций и субсидий обеспечивают главные распорядители.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40" w:right="200" w:firstLine="0"/>
      </w:pPr>
      <w:r>
        <w:t xml:space="preserve"> При оплате догово</w:t>
      </w:r>
      <w:r>
        <w:t>ров на проведение ремонтных, монтажных, пусконаладочных работ в территориальный орган предоставляется следующий пакет документов:</w:t>
      </w:r>
    </w:p>
    <w:p w:rsidR="006C4B24" w:rsidRDefault="00413E0E">
      <w:pPr>
        <w:pStyle w:val="23"/>
        <w:keepNext/>
        <w:keepLines/>
        <w:shd w:val="clear" w:color="auto" w:fill="auto"/>
        <w:ind w:left="40" w:firstLine="280"/>
      </w:pPr>
      <w:bookmarkStart w:id="1" w:name="bookmark1"/>
      <w:r>
        <w:t>а) договор подряда (контракт);</w:t>
      </w:r>
      <w:bookmarkEnd w:id="1"/>
    </w:p>
    <w:p w:rsidR="006C4B24" w:rsidRDefault="00413E0E">
      <w:pPr>
        <w:pStyle w:val="21"/>
        <w:shd w:val="clear" w:color="auto" w:fill="auto"/>
        <w:spacing w:after="0"/>
        <w:ind w:left="240" w:firstLine="0"/>
      </w:pPr>
      <w:r>
        <w:t>б) сметная документация на проведение работ;</w:t>
      </w:r>
    </w:p>
    <w:p w:rsidR="006C4B24" w:rsidRDefault="00413E0E">
      <w:pPr>
        <w:pStyle w:val="50"/>
        <w:shd w:val="clear" w:color="auto" w:fill="auto"/>
        <w:spacing w:before="0" w:after="0" w:line="274" w:lineRule="exact"/>
        <w:ind w:left="240" w:firstLine="0"/>
        <w:jc w:val="left"/>
      </w:pPr>
      <w:r>
        <w:t>в) справка о стоимости выполненных работ (услуг) и</w:t>
      </w:r>
      <w:r>
        <w:t xml:space="preserve"> затрат (форма КС-3);</w:t>
      </w:r>
    </w:p>
    <w:p w:rsidR="006C4B24" w:rsidRDefault="00413E0E">
      <w:pPr>
        <w:pStyle w:val="21"/>
        <w:shd w:val="clear" w:color="auto" w:fill="auto"/>
        <w:spacing w:after="0"/>
        <w:ind w:left="240" w:firstLine="0"/>
      </w:pPr>
      <w:r>
        <w:t>г) счет, счет-фактура;</w:t>
      </w:r>
    </w:p>
    <w:p w:rsidR="006C4B24" w:rsidRDefault="00413E0E">
      <w:pPr>
        <w:pStyle w:val="21"/>
        <w:shd w:val="clear" w:color="auto" w:fill="auto"/>
        <w:spacing w:after="0"/>
        <w:ind w:left="240" w:firstLine="0"/>
      </w:pPr>
      <w:r>
        <w:t>д) платежное поручение.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20" w:right="440" w:firstLine="0"/>
        <w:jc w:val="both"/>
      </w:pPr>
      <w:r>
        <w:t xml:space="preserve"> В договоре (контракте) на выполнение работ, оказание услуг для муниципальных нужд, срок исполнения которого превышает один финансовый год, указывается общая стоимость договора (контракта) с разбивкой сумм по соответствующим финансовым годам.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20" w:right="240" w:firstLine="0"/>
      </w:pPr>
      <w:r>
        <w:t xml:space="preserve"> Исправления,</w:t>
      </w:r>
      <w:r>
        <w:t xml:space="preserve"> помарки и подчистки, а также использование корректирующей жидкости в кассовых и банковских документах не допускаются. В остальные первичные документы исправления могут вноситься лишь по согласованию с руководителем, что должно быть подтверждено подписями </w:t>
      </w:r>
      <w:r>
        <w:t>тех же лиц, которые подписали документы, с указанием даты внесения исправлений (п.5 ст.9 Федерального закона от 21.11.1996 г. № 129-ФЗ «О бухгалтерском учете»),</w:t>
      </w:r>
    </w:p>
    <w:p w:rsidR="006C4B24" w:rsidRDefault="00413E0E">
      <w:pPr>
        <w:pStyle w:val="21"/>
        <w:numPr>
          <w:ilvl w:val="0"/>
          <w:numId w:val="5"/>
        </w:numPr>
        <w:shd w:val="clear" w:color="auto" w:fill="auto"/>
        <w:spacing w:after="0"/>
        <w:ind w:left="20" w:right="240" w:firstLine="0"/>
        <w:sectPr w:rsidR="006C4B24" w:rsidSect="008D1A1C">
          <w:type w:val="continuous"/>
          <w:pgSz w:w="16838" w:h="23810"/>
          <w:pgMar w:top="851" w:right="3314" w:bottom="4184" w:left="3314" w:header="0" w:footer="3" w:gutter="220"/>
          <w:cols w:space="720"/>
          <w:noEndnote/>
          <w:rtlGutter/>
          <w:docGrid w:linePitch="360"/>
        </w:sectPr>
      </w:pPr>
      <w:r>
        <w:t xml:space="preserve"> В случае необходимости главными распорядителями, распорядителями и п</w:t>
      </w:r>
      <w:r>
        <w:t>олучателями бюджетных сре</w:t>
      </w:r>
      <w:proofErr w:type="gramStart"/>
      <w:r>
        <w:t>дств в т</w:t>
      </w:r>
      <w:proofErr w:type="gramEnd"/>
      <w:r>
        <w:t>ерриториальный орган могут быть представлены иные документы для подтверждения денежных обязательств, подлежащих исполнению за счет средств бюджета сельского поселения.</w:t>
      </w:r>
    </w:p>
    <w:p w:rsidR="006C4B24" w:rsidRPr="008D1A1C" w:rsidRDefault="006C4B24" w:rsidP="008D1A1C">
      <w:pPr>
        <w:pStyle w:val="70"/>
        <w:shd w:val="clear" w:color="auto" w:fill="auto"/>
        <w:spacing w:after="254" w:line="580" w:lineRule="exact"/>
      </w:pPr>
    </w:p>
    <w:p w:rsidR="006C4B24" w:rsidRDefault="00413E0E">
      <w:pPr>
        <w:pStyle w:val="21"/>
        <w:shd w:val="clear" w:color="auto" w:fill="auto"/>
        <w:spacing w:after="0" w:line="278" w:lineRule="exact"/>
        <w:ind w:left="12500" w:right="380" w:firstLine="0"/>
        <w:jc w:val="right"/>
      </w:pPr>
      <w:r>
        <w:t xml:space="preserve">Приложение № 2 к Решению Совета Надеждинского </w:t>
      </w:r>
      <w:r>
        <w:t xml:space="preserve">сельского поселения Омского муниципального района </w:t>
      </w:r>
      <w:proofErr w:type="gramStart"/>
      <w:r>
        <w:t>Омской</w:t>
      </w:r>
      <w:proofErr w:type="gramEnd"/>
    </w:p>
    <w:p w:rsidR="006C4B24" w:rsidRDefault="00413E0E">
      <w:pPr>
        <w:pStyle w:val="21"/>
        <w:shd w:val="clear" w:color="auto" w:fill="auto"/>
        <w:spacing w:after="0" w:line="278" w:lineRule="exact"/>
        <w:ind w:right="380" w:firstLine="0"/>
        <w:jc w:val="right"/>
      </w:pPr>
      <w:r>
        <w:t>области</w:t>
      </w:r>
    </w:p>
    <w:p w:rsidR="006C4B24" w:rsidRDefault="008D1A1C">
      <w:pPr>
        <w:pStyle w:val="80"/>
        <w:shd w:val="clear" w:color="auto" w:fill="auto"/>
        <w:spacing w:after="279"/>
        <w:ind w:right="380"/>
      </w:pPr>
      <w:r>
        <w:t>07 августа</w:t>
      </w:r>
      <w:bookmarkStart w:id="2" w:name="_GoBack"/>
      <w:bookmarkEnd w:id="2"/>
      <w:r w:rsidR="00413E0E" w:rsidRPr="008D1A1C">
        <w:rPr>
          <w:rStyle w:val="80pt"/>
          <w:lang w:eastAsia="en-US" w:bidi="en-US"/>
        </w:rPr>
        <w:t xml:space="preserve"> </w:t>
      </w:r>
      <w:r w:rsidR="00413E0E">
        <w:rPr>
          <w:rStyle w:val="80pt"/>
        </w:rPr>
        <w:t>2007г.</w:t>
      </w:r>
    </w:p>
    <w:p w:rsidR="006C4B24" w:rsidRDefault="00413E0E">
      <w:pPr>
        <w:pStyle w:val="21"/>
        <w:shd w:val="clear" w:color="auto" w:fill="auto"/>
        <w:spacing w:after="63" w:line="230" w:lineRule="exact"/>
        <w:ind w:left="280" w:firstLine="0"/>
        <w:jc w:val="center"/>
      </w:pPr>
      <w:r>
        <w:t>Перечень</w:t>
      </w:r>
    </w:p>
    <w:p w:rsidR="006C4B24" w:rsidRDefault="00413E0E">
      <w:pPr>
        <w:pStyle w:val="21"/>
        <w:shd w:val="clear" w:color="auto" w:fill="auto"/>
        <w:spacing w:after="194" w:line="230" w:lineRule="exact"/>
        <w:ind w:left="280" w:firstLine="0"/>
        <w:jc w:val="center"/>
      </w:pPr>
      <w:r>
        <w:t>Документов, предъявляемых для подтверждения и оплаты денежных обязательств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214"/>
        <w:gridCol w:w="3696"/>
        <w:gridCol w:w="10570"/>
      </w:tblGrid>
      <w:tr w:rsidR="006C4B24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60" w:line="230" w:lineRule="exact"/>
              <w:ind w:left="240" w:firstLine="0"/>
            </w:pPr>
            <w:r>
              <w:rPr>
                <w:rStyle w:val="1"/>
              </w:rPr>
              <w:t>№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before="60" w:after="0" w:line="230" w:lineRule="exact"/>
              <w:ind w:left="240" w:firstLine="0"/>
            </w:pP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60" w:line="230" w:lineRule="exact"/>
              <w:ind w:firstLine="0"/>
              <w:jc w:val="center"/>
            </w:pPr>
            <w:r>
              <w:rPr>
                <w:rStyle w:val="1"/>
              </w:rPr>
              <w:t>Код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jc w:val="center"/>
            </w:pPr>
            <w:r>
              <w:rPr>
                <w:rStyle w:val="1"/>
              </w:rPr>
              <w:t>БК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1"/>
              </w:rPr>
              <w:t>Наименование статьи экономической классификации расходов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 xml:space="preserve">Перечень </w:t>
            </w:r>
            <w:r>
              <w:rPr>
                <w:rStyle w:val="1"/>
              </w:rPr>
              <w:t>документов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</w:pPr>
            <w:r>
              <w:rPr>
                <w:rStyle w:val="1"/>
              </w:rPr>
              <w:t>1.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>210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</w:pPr>
            <w:r>
              <w:rPr>
                <w:rStyle w:val="1"/>
              </w:rPr>
              <w:t>Оплата труда и начисления на оплату труда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left="100" w:firstLine="0"/>
            </w:pPr>
            <w:r>
              <w:rPr>
                <w:rStyle w:val="1"/>
              </w:rPr>
              <w:t>Денежный чек и платежное поручение к нему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left="100" w:firstLine="0"/>
            </w:pPr>
            <w:r>
              <w:rPr>
                <w:rStyle w:val="1"/>
              </w:rPr>
              <w:t>Платежное поручение на перечисление заработной платы, пособий или других выплат, вклады на лицевые счета кредитных организациях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left="100" w:firstLine="0"/>
            </w:pPr>
            <w:r>
              <w:rPr>
                <w:rStyle w:val="1"/>
              </w:rPr>
              <w:t xml:space="preserve">Платежные поручения на </w:t>
            </w:r>
            <w:r>
              <w:rPr>
                <w:rStyle w:val="1"/>
              </w:rPr>
              <w:t xml:space="preserve">перечисление налога на доходы физических лиц, единого социального налога, взносов по страховым тарифам на обязательное страхование от несчастных случаев на производстве и профессиональных заболеваний, иные отчисления, перечисления, удержания </w:t>
            </w:r>
            <w:proofErr w:type="gramStart"/>
            <w:r>
              <w:rPr>
                <w:rStyle w:val="1"/>
              </w:rPr>
              <w:t xml:space="preserve">( </w:t>
            </w:r>
            <w:proofErr w:type="gramEnd"/>
            <w:r>
              <w:rPr>
                <w:rStyle w:val="1"/>
              </w:rPr>
              <w:t xml:space="preserve">в том числе </w:t>
            </w:r>
            <w:r>
              <w:rPr>
                <w:rStyle w:val="1"/>
              </w:rPr>
              <w:t>алименты, профсоюзные взносы)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</w:pPr>
            <w:r>
              <w:rPr>
                <w:rStyle w:val="1"/>
              </w:rPr>
              <w:t>2.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>220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</w:pPr>
            <w:r>
              <w:rPr>
                <w:rStyle w:val="1"/>
              </w:rPr>
              <w:t>Приобретение услуг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left="100" w:firstLine="0"/>
            </w:pPr>
            <w:r>
              <w:rPr>
                <w:rStyle w:val="1"/>
              </w:rPr>
              <w:t>Договор приобретения услуг (работ), договор аренды Акт выполненных работ Счет, счет-фактура Платежное поручение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/>
              <w:ind w:left="100" w:firstLine="0"/>
            </w:pPr>
            <w:r>
              <w:rPr>
                <w:rStyle w:val="1"/>
              </w:rPr>
              <w:t>Денежный чек и платежное поручение к нему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</w:pPr>
            <w:r>
              <w:rPr>
                <w:rStyle w:val="1"/>
              </w:rPr>
              <w:t>3.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>260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</w:pPr>
            <w:r>
              <w:rPr>
                <w:rStyle w:val="1"/>
              </w:rPr>
              <w:t>Социальное обеспечение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rPr>
                <w:rStyle w:val="1"/>
              </w:rPr>
              <w:t xml:space="preserve">Договор, </w:t>
            </w:r>
            <w:r>
              <w:rPr>
                <w:rStyle w:val="1"/>
              </w:rPr>
              <w:t>реестр, распоряжение или иной документ Платежное поручение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rPr>
                <w:rStyle w:val="1"/>
              </w:rPr>
              <w:t>Денежный чек и платежное поручение к нему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</w:pPr>
            <w:r>
              <w:rPr>
                <w:rStyle w:val="1"/>
              </w:rPr>
              <w:t>4.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>290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</w:pPr>
            <w:r>
              <w:rPr>
                <w:rStyle w:val="1"/>
              </w:rPr>
              <w:t>Прочие расходы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rPr>
                <w:rStyle w:val="1"/>
              </w:rPr>
              <w:t xml:space="preserve">Документ на </w:t>
            </w:r>
            <w:proofErr w:type="gramStart"/>
            <w:r>
              <w:rPr>
                <w:rStyle w:val="1"/>
              </w:rPr>
              <w:t>основании</w:t>
            </w:r>
            <w:proofErr w:type="gramEnd"/>
            <w:r>
              <w:rPr>
                <w:rStyle w:val="1"/>
              </w:rPr>
              <w:t xml:space="preserve"> которого осуществляется платеж договоров, соглашение, квитанция и т.п. Платежное поручение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rPr>
                <w:rStyle w:val="1"/>
              </w:rPr>
              <w:t xml:space="preserve">Денежный чек и </w:t>
            </w:r>
            <w:r>
              <w:rPr>
                <w:rStyle w:val="1"/>
              </w:rPr>
              <w:t>платежное поручение к нему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</w:pPr>
            <w:r>
              <w:rPr>
                <w:rStyle w:val="1"/>
              </w:rPr>
              <w:t>5.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>
              <w:rPr>
                <w:rStyle w:val="1"/>
              </w:rPr>
              <w:t>300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</w:pPr>
            <w:r>
              <w:rPr>
                <w:rStyle w:val="1"/>
              </w:rPr>
              <w:t>Поступление нефинансовых активов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after="60" w:line="230" w:lineRule="exact"/>
              <w:ind w:left="100" w:firstLine="0"/>
            </w:pPr>
            <w:r>
              <w:rPr>
                <w:rStyle w:val="1"/>
              </w:rPr>
              <w:t>Договор</w:t>
            </w:r>
          </w:p>
          <w:p w:rsidR="006C4B24" w:rsidRDefault="00413E0E">
            <w:pPr>
              <w:pStyle w:val="21"/>
              <w:framePr w:w="16190" w:wrap="notBeside" w:vAnchor="text" w:hAnchor="text" w:xAlign="center" w:y="1"/>
              <w:shd w:val="clear" w:color="auto" w:fill="auto"/>
              <w:spacing w:before="60" w:after="0" w:line="230" w:lineRule="exact"/>
              <w:ind w:left="100" w:firstLine="0"/>
            </w:pPr>
            <w:r>
              <w:rPr>
                <w:rStyle w:val="1"/>
              </w:rPr>
              <w:t>Счет, счет-фактура</w:t>
            </w:r>
          </w:p>
        </w:tc>
      </w:tr>
    </w:tbl>
    <w:p w:rsidR="006C4B24" w:rsidRDefault="006C4B24">
      <w:pPr>
        <w:spacing w:line="120" w:lineRule="exact"/>
        <w:rPr>
          <w:sz w:val="2"/>
          <w:szCs w:val="2"/>
        </w:rPr>
      </w:pPr>
    </w:p>
    <w:p w:rsidR="006C4B24" w:rsidRDefault="00413E0E">
      <w:pPr>
        <w:framePr w:h="422" w:wrap="notBeside" w:vAnchor="text" w:hAnchor="text" w:xAlign="right" w:y="1"/>
        <w:jc w:val="right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29.35pt;height:20.65pt">
            <v:imagedata r:id="rId10" r:href="rId11"/>
          </v:shape>
        </w:pict>
      </w:r>
      <w:r>
        <w:fldChar w:fldCharType="end"/>
      </w:r>
    </w:p>
    <w:p w:rsidR="006C4B24" w:rsidRDefault="006C4B24">
      <w:pPr>
        <w:rPr>
          <w:sz w:val="2"/>
          <w:szCs w:val="2"/>
        </w:rPr>
      </w:pPr>
    </w:p>
    <w:p w:rsidR="006C4B24" w:rsidRDefault="006C4B24">
      <w:pPr>
        <w:rPr>
          <w:sz w:val="2"/>
          <w:szCs w:val="2"/>
        </w:rPr>
        <w:sectPr w:rsidR="006C4B24">
          <w:pgSz w:w="16838" w:h="11906" w:orient="landscape"/>
          <w:pgMar w:top="134" w:right="182" w:bottom="0" w:left="182" w:header="0" w:footer="3" w:gutter="0"/>
          <w:cols w:space="720"/>
          <w:noEndnote/>
          <w:docGrid w:linePitch="360"/>
        </w:sectPr>
      </w:pPr>
    </w:p>
    <w:p w:rsidR="006C4B24" w:rsidRDefault="00413E0E">
      <w:pPr>
        <w:pStyle w:val="20"/>
        <w:shd w:val="clear" w:color="auto" w:fill="auto"/>
        <w:spacing w:after="0" w:line="260" w:lineRule="exact"/>
        <w:ind w:left="660"/>
        <w:jc w:val="left"/>
      </w:pPr>
      <w:r>
        <w:lastRenderedPageBreak/>
        <w:t>&gt;</w:t>
      </w:r>
    </w:p>
    <w:p w:rsidR="006C4B24" w:rsidRDefault="00413E0E">
      <w:pPr>
        <w:pStyle w:val="21"/>
        <w:shd w:val="clear" w:color="auto" w:fill="auto"/>
        <w:spacing w:after="74" w:line="230" w:lineRule="exact"/>
        <w:ind w:left="660" w:firstLine="0"/>
      </w:pPr>
      <w:r>
        <w:t>&gt;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1219"/>
        <w:gridCol w:w="3686"/>
        <w:gridCol w:w="10627"/>
      </w:tblGrid>
      <w:tr w:rsidR="006C4B24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6C4B24">
            <w:pPr>
              <w:framePr w:w="16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6C4B24">
            <w:pPr>
              <w:framePr w:w="16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6C4B24">
            <w:pPr>
              <w:framePr w:w="16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</w:pPr>
            <w:r>
              <w:rPr>
                <w:rStyle w:val="1"/>
              </w:rPr>
              <w:t>Платежное поручение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 w:line="230" w:lineRule="exact"/>
              <w:ind w:left="220" w:firstLine="0"/>
            </w:pPr>
            <w:r>
              <w:rPr>
                <w:rStyle w:val="1"/>
                <w:lang w:val="en-US" w:eastAsia="en-US" w:bidi="en-US"/>
              </w:rPr>
              <w:t>6.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6C4B24">
            <w:pPr>
              <w:framePr w:w="16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</w:pPr>
            <w:r>
              <w:rPr>
                <w:rStyle w:val="1"/>
              </w:rPr>
              <w:t>Расходы на капитальные вложения</w:t>
            </w:r>
          </w:p>
        </w:tc>
        <w:tc>
          <w:tcPr>
            <w:tcW w:w="10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>Договор (контракт), сводный сметный расчет стоимости строительства</w:t>
            </w:r>
          </w:p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>Договор о передаче функций заказчику-</w:t>
            </w:r>
            <w:proofErr w:type="spellStart"/>
            <w:r>
              <w:rPr>
                <w:rStyle w:val="1"/>
              </w:rPr>
              <w:t>застройгцику</w:t>
            </w:r>
            <w:proofErr w:type="spellEnd"/>
          </w:p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 xml:space="preserve">Справка о стоимости выполнения работ </w:t>
            </w:r>
            <w:proofErr w:type="gramStart"/>
            <w:r>
              <w:rPr>
                <w:rStyle w:val="1"/>
              </w:rPr>
              <w:t xml:space="preserve">( </w:t>
            </w:r>
            <w:proofErr w:type="gramEnd"/>
            <w:r>
              <w:rPr>
                <w:rStyle w:val="1"/>
              </w:rPr>
              <w:t>услуг) и затрат ( форма КС-3)</w:t>
            </w:r>
          </w:p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 xml:space="preserve">Счет, </w:t>
            </w:r>
            <w:r>
              <w:rPr>
                <w:rStyle w:val="1"/>
              </w:rPr>
              <w:t>счет-фактура</w:t>
            </w:r>
          </w:p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>Платежное поручение</w:t>
            </w:r>
          </w:p>
        </w:tc>
      </w:tr>
      <w:tr w:rsidR="006C4B24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 w:line="230" w:lineRule="exact"/>
              <w:ind w:left="220" w:firstLine="0"/>
            </w:pPr>
            <w:r>
              <w:rPr>
                <w:rStyle w:val="1"/>
                <w:lang w:val="en-US" w:eastAsia="en-US" w:bidi="en-US"/>
              </w:rPr>
              <w:t>7.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B24" w:rsidRDefault="006C4B24">
            <w:pPr>
              <w:framePr w:w="16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0"/>
              <w:ind w:left="120" w:firstLine="0"/>
            </w:pPr>
            <w:r>
              <w:rPr>
                <w:rStyle w:val="1"/>
              </w:rPr>
              <w:t>Исполнение требований исполнительных листов судебных органов о взыскании средств по денежным обязательствам бюджетных учреждений</w:t>
            </w:r>
          </w:p>
        </w:tc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after="300"/>
              <w:ind w:left="120" w:firstLine="0"/>
            </w:pPr>
            <w:r>
              <w:rPr>
                <w:rStyle w:val="1"/>
              </w:rPr>
              <w:t xml:space="preserve">Письмо, содержащее информацию об источнике образования </w:t>
            </w:r>
            <w:proofErr w:type="spellStart"/>
            <w:r>
              <w:rPr>
                <w:rStyle w:val="1"/>
              </w:rPr>
              <w:t>задолжности</w:t>
            </w:r>
            <w:proofErr w:type="spellEnd"/>
            <w:r>
              <w:rPr>
                <w:rStyle w:val="1"/>
              </w:rPr>
              <w:t xml:space="preserve"> </w:t>
            </w:r>
            <w:proofErr w:type="gramStart"/>
            <w:r>
              <w:rPr>
                <w:rStyle w:val="1"/>
              </w:rPr>
              <w:t xml:space="preserve">( </w:t>
            </w:r>
            <w:proofErr w:type="gramEnd"/>
            <w:r>
              <w:rPr>
                <w:rStyle w:val="1"/>
              </w:rPr>
              <w:t xml:space="preserve">по деятельности, </w:t>
            </w:r>
            <w:r>
              <w:rPr>
                <w:rStyle w:val="1"/>
              </w:rPr>
              <w:t>финансируемой за счет средств бюджета, либо по предпринимательской и иной приносящей доход деятельности) и о кодах бюджетной классификации РФ по которым должны быть произведены расходы по исполнению исполнительного документа</w:t>
            </w:r>
          </w:p>
          <w:p w:rsidR="006C4B24" w:rsidRDefault="00413E0E">
            <w:pPr>
              <w:pStyle w:val="21"/>
              <w:framePr w:w="16186" w:wrap="notBeside" w:vAnchor="text" w:hAnchor="text" w:xAlign="center" w:y="1"/>
              <w:shd w:val="clear" w:color="auto" w:fill="auto"/>
              <w:spacing w:before="300" w:after="0" w:line="80" w:lineRule="exact"/>
              <w:ind w:left="6780" w:firstLine="0"/>
            </w:pPr>
            <w:r>
              <w:rPr>
                <w:rStyle w:val="MicrosoftSansSerif4pt1pt"/>
              </w:rPr>
              <w:t>- ...</w:t>
            </w:r>
          </w:p>
        </w:tc>
      </w:tr>
    </w:tbl>
    <w:p w:rsidR="006C4B24" w:rsidRDefault="006C4B24">
      <w:pPr>
        <w:rPr>
          <w:sz w:val="2"/>
          <w:szCs w:val="2"/>
        </w:rPr>
      </w:pPr>
    </w:p>
    <w:p w:rsidR="006C4B24" w:rsidRDefault="00413E0E">
      <w:pPr>
        <w:pStyle w:val="12"/>
        <w:keepNext/>
        <w:keepLines/>
        <w:shd w:val="clear" w:color="auto" w:fill="auto"/>
        <w:spacing w:before="6190" w:line="620" w:lineRule="exact"/>
      </w:pPr>
      <w:bookmarkStart w:id="3" w:name="bookmark2"/>
      <w:r>
        <w:t>-SI</w:t>
      </w:r>
      <w:bookmarkEnd w:id="3"/>
    </w:p>
    <w:sectPr w:rsidR="006C4B24">
      <w:pgSz w:w="23810" w:h="16838" w:orient="landscape"/>
      <w:pgMar w:top="2893" w:right="3634" w:bottom="2331" w:left="37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0E" w:rsidRDefault="00413E0E">
      <w:r>
        <w:separator/>
      </w:r>
    </w:p>
  </w:endnote>
  <w:endnote w:type="continuationSeparator" w:id="0">
    <w:p w:rsidR="00413E0E" w:rsidRDefault="0041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0E" w:rsidRDefault="00413E0E"/>
  </w:footnote>
  <w:footnote w:type="continuationSeparator" w:id="0">
    <w:p w:rsidR="00413E0E" w:rsidRDefault="00413E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3BE0"/>
    <w:multiLevelType w:val="multilevel"/>
    <w:tmpl w:val="640444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096D6D"/>
    <w:multiLevelType w:val="multilevel"/>
    <w:tmpl w:val="55109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7926A2"/>
    <w:multiLevelType w:val="multilevel"/>
    <w:tmpl w:val="C332E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884913"/>
    <w:multiLevelType w:val="multilevel"/>
    <w:tmpl w:val="3FF63AB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5432B1"/>
    <w:multiLevelType w:val="multilevel"/>
    <w:tmpl w:val="E54659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C4B24"/>
    <w:rsid w:val="00413E0E"/>
    <w:rsid w:val="006C4B24"/>
    <w:rsid w:val="008D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MicrosoftSansSerif12pt">
    <w:name w:val="Основной текст (3) + Microsoft Sans Serif;12 pt;Не курсив"/>
    <w:basedOn w:val="3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0Exact">
    <w:name w:val="Основной текст (10) Exact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80pt">
    <w:name w:val="Основной текст (8) + Не полужирный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MicrosoftSansSerif4pt1pt">
    <w:name w:val="Основной текст + Microsoft Sans Serif;4 pt;Интервал 1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20"/>
      <w:sz w:val="62"/>
      <w:szCs w:val="62"/>
      <w:u w:val="none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after="300" w:line="317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Constantia" w:eastAsia="Constantia" w:hAnsi="Constantia" w:cs="Constant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8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540" w:line="274" w:lineRule="exact"/>
      <w:ind w:hanging="1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sz w:val="26"/>
      <w:szCs w:val="26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20"/>
      <w:szCs w:val="2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420" w:line="0" w:lineRule="atLeast"/>
    </w:pPr>
    <w:rPr>
      <w:rFonts w:ascii="Franklin Gothic Heavy" w:eastAsia="Franklin Gothic Heavy" w:hAnsi="Franklin Gothic Heavy" w:cs="Franklin Gothic Heavy"/>
      <w:sz w:val="58"/>
      <w:szCs w:val="5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6240" w:line="0" w:lineRule="atLeast"/>
      <w:jc w:val="right"/>
      <w:outlineLvl w:val="0"/>
    </w:pPr>
    <w:rPr>
      <w:rFonts w:ascii="Franklin Gothic Heavy" w:eastAsia="Franklin Gothic Heavy" w:hAnsi="Franklin Gothic Heavy" w:cs="Franklin Gothic Heavy"/>
      <w:spacing w:val="-20"/>
      <w:sz w:val="62"/>
      <w:szCs w:val="6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MicrosoftSansSerif12pt">
    <w:name w:val="Основной текст (3) + Microsoft Sans Serif;12 pt;Не курсив"/>
    <w:basedOn w:val="3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0Exact">
    <w:name w:val="Основной текст (10) Exact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80pt">
    <w:name w:val="Основной текст (8) + Не полужирный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MicrosoftSansSerif4pt1pt">
    <w:name w:val="Основной текст + Microsoft Sans Serif;4 pt;Интервал 1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20"/>
      <w:sz w:val="62"/>
      <w:szCs w:val="62"/>
      <w:u w:val="none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after="300" w:line="317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Constantia" w:eastAsia="Constantia" w:hAnsi="Constantia" w:cs="Constant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8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540" w:line="274" w:lineRule="exact"/>
      <w:ind w:hanging="1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sz w:val="26"/>
      <w:szCs w:val="26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20"/>
      <w:szCs w:val="2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420" w:line="0" w:lineRule="atLeast"/>
    </w:pPr>
    <w:rPr>
      <w:rFonts w:ascii="Franklin Gothic Heavy" w:eastAsia="Franklin Gothic Heavy" w:hAnsi="Franklin Gothic Heavy" w:cs="Franklin Gothic Heavy"/>
      <w:sz w:val="58"/>
      <w:szCs w:val="5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6240" w:line="0" w:lineRule="atLeast"/>
      <w:jc w:val="right"/>
      <w:outlineLvl w:val="0"/>
    </w:pPr>
    <w:rPr>
      <w:rFonts w:ascii="Franklin Gothic Heavy" w:eastAsia="Franklin Gothic Heavy" w:hAnsi="Franklin Gothic Heavy" w:cs="Franklin Gothic Heavy"/>
      <w:spacing w:val="-20"/>
      <w:sz w:val="62"/>
      <w:szCs w:val="6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USER~1.NAD/AppData/Local/Temp/FineReader11.00/media/image2.jpe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2017-06-01T03:55:00Z</dcterms:created>
  <dcterms:modified xsi:type="dcterms:W3CDTF">2017-06-01T03:58:00Z</dcterms:modified>
</cp:coreProperties>
</file>